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6EEC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36"/>
          <w14:ligatures w14:val="none"/>
        </w:rPr>
        <w:t>Traffic Case Study — Liberty Dialogues Application</w:t>
      </w:r>
    </w:p>
    <w:p w14:paraId="227C2003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Table of Contents</w:t>
      </w:r>
    </w:p>
    <w:p w14:paraId="0EE4E97C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Introduction</w:t>
      </w:r>
    </w:p>
    <w:p w14:paraId="7EDDFE14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Purpose of This Case Study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Overview of the Liberty Dialogues Application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Scope and Limitations of This Example</w:t>
      </w:r>
    </w:p>
    <w:p w14:paraId="523362FF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Part I — Case Overview</w:t>
      </w:r>
    </w:p>
    <w:p w14:paraId="1869ABE7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1. Background of the Case</w:t>
      </w:r>
    </w:p>
    <w:p w14:paraId="28F47989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Summary of the Traffic Stop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Initial Citation and Charges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Jurisdiction and Venue</w:t>
      </w:r>
    </w:p>
    <w:p w14:paraId="45E75496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2. Procedural History</w:t>
      </w:r>
    </w:p>
    <w:p w14:paraId="56A4D3D6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Timeline of Events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Initial Court Appearance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Subsequent Filings and Responses</w:t>
      </w:r>
    </w:p>
    <w:p w14:paraId="48E3572C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Part II — Structural Breakdown (Liberty Dialogues Framework)</w:t>
      </w:r>
    </w:p>
    <w:p w14:paraId="54941118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3. Authority</w:t>
      </w:r>
    </w:p>
    <w:p w14:paraId="4F60A4F4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Source of Authority Asserted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Statutory Basis Claimed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Authority</w:t>
      </w:r>
    </w:p>
    <w:p w14:paraId="49A4F94F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4. Jurisdiction</w:t>
      </w:r>
    </w:p>
    <w:p w14:paraId="58FD2F47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Subject-Matter Jurisdiction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Personal Jurisdiction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Territorial Scope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Jurisdiction</w:t>
      </w:r>
    </w:p>
    <w:p w14:paraId="040B9FFF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5. Status</w:t>
      </w:r>
    </w:p>
    <w:p w14:paraId="4D05AE03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Classification of the Defendant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Definitions Applied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Status</w:t>
      </w:r>
    </w:p>
    <w:p w14:paraId="6DF181A7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lastRenderedPageBreak/>
        <w:t>6. Standing</w:t>
      </w:r>
    </w:p>
    <w:p w14:paraId="6507D854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Identified Claimant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Nature of the Claim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Injury or Violation Asserted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Standing</w:t>
      </w:r>
    </w:p>
    <w:p w14:paraId="790307AC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7. Obligation</w:t>
      </w:r>
    </w:p>
    <w:p w14:paraId="044A46AD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Duty Alleged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Source of Obligation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Application to Defendant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Obligation</w:t>
      </w:r>
    </w:p>
    <w:p w14:paraId="3086119F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8. Enforcement</w:t>
      </w:r>
    </w:p>
    <w:p w14:paraId="225ED223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Citation and Penalty Structure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Procedural Enforcement Mechanisms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Analysis of Enforcement</w:t>
      </w:r>
    </w:p>
    <w:p w14:paraId="47832425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Part III — Application in Practice</w:t>
      </w:r>
    </w:p>
    <w:p w14:paraId="0D0E69B3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9. Initial Response Strategy</w:t>
      </w:r>
    </w:p>
    <w:p w14:paraId="7CF9ABB9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Pre-Hearing Positioning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Entry into the Record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Avoiding Premature Concessions</w:t>
      </w:r>
    </w:p>
    <w:p w14:paraId="113DE526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10. Courtroom Interaction</w:t>
      </w:r>
    </w:p>
    <w:p w14:paraId="0E8CAFE9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Opening Statements and Positioning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Use of Structured Questions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Handling Judicial and Prosecutorial Responses</w:t>
      </w:r>
    </w:p>
    <w:p w14:paraId="46452D99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11. Discovery and Evidence</w:t>
      </w:r>
    </w:p>
    <w:p w14:paraId="66F32A03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Requests for Information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Challenges to Evidence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Response to Prosecution Materials</w:t>
      </w:r>
    </w:p>
    <w:p w14:paraId="199F905B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12. Motions Filed</w:t>
      </w:r>
    </w:p>
    <w:p w14:paraId="1971AFAE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lastRenderedPageBreak/>
        <w:t>Motion to Dismiss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Motion to Compel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Supporting Arguments and Structure</w:t>
      </w:r>
    </w:p>
    <w:p w14:paraId="32C8EA1A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Part IV — Outcome and Analysis</w:t>
      </w:r>
    </w:p>
    <w:p w14:paraId="60C9BD03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13. Court’s Response</w:t>
      </w:r>
    </w:p>
    <w:p w14:paraId="36650690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Judicial Handling of Structural Questions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Acceptance or Rejection of Arguments</w:t>
      </w:r>
    </w:p>
    <w:p w14:paraId="5CB9A06C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14. Final Outcome</w:t>
      </w:r>
    </w:p>
    <w:p w14:paraId="584C2E78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Disposition of Charges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Orders Issued</w:t>
      </w:r>
    </w:p>
    <w:p w14:paraId="7D9F8642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15. Post-Case Analysis</w:t>
      </w:r>
    </w:p>
    <w:p w14:paraId="6BEE9BEB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What Worked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What Failed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Lessons Learned</w:t>
      </w:r>
    </w:p>
    <w:p w14:paraId="2C27EEB9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Part V — Practical Guidance</w:t>
      </w:r>
    </w:p>
    <w:p w14:paraId="12FE0A9F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16. Replicating the Approach</w:t>
      </w:r>
    </w:p>
    <w:p w14:paraId="36EA4051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How to Apply the LD Framework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Common Mistakes to Avoid</w:t>
      </w:r>
    </w:p>
    <w:p w14:paraId="53B23300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17. Limitations of the Approach</w:t>
      </w:r>
    </w:p>
    <w:p w14:paraId="765B5D17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Procedural Constraints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Judicial Discretion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Realistic Expectations</w:t>
      </w:r>
    </w:p>
    <w:p w14:paraId="23BAA227" w14:textId="77777777" w:rsidR="00115E40" w:rsidRPr="00115E40" w:rsidRDefault="00115E40" w:rsidP="00115E40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115E40">
        <w:rPr>
          <w:rFonts w:ascii="Calibri" w:eastAsia="Times New Roman" w:hAnsi="Calibri" w:cs="Calibri"/>
          <w:b/>
          <w:bCs/>
          <w:kern w:val="0"/>
          <w14:ligatures w14:val="none"/>
        </w:rPr>
        <w:t>Appendices</w:t>
      </w:r>
    </w:p>
    <w:p w14:paraId="49EB6DA9" w14:textId="77777777" w:rsidR="00115E40" w:rsidRPr="00115E40" w:rsidRDefault="00115E40" w:rsidP="00115E4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115E40">
        <w:rPr>
          <w:rFonts w:ascii="Calibri" w:eastAsia="Times New Roman" w:hAnsi="Calibri" w:cs="Calibri"/>
          <w:kern w:val="0"/>
          <w14:ligatures w14:val="none"/>
        </w:rPr>
        <w:t>Appendix A — Full Courtroom Script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Appendix B — Sample Motions Filed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Appendix C — Discovery Requests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Appendix D — Timeline of Filings</w:t>
      </w:r>
      <w:r w:rsidRPr="00115E40">
        <w:rPr>
          <w:rFonts w:ascii="Calibri" w:eastAsia="Times New Roman" w:hAnsi="Calibri" w:cs="Calibri"/>
          <w:kern w:val="0"/>
          <w14:ligatures w14:val="none"/>
        </w:rPr>
        <w:br/>
        <w:t>Appendix E — Key Definitions</w:t>
      </w:r>
    </w:p>
    <w:p w14:paraId="7DFAE438" w14:textId="77777777" w:rsidR="000E48F5" w:rsidRPr="00115E40" w:rsidRDefault="000E48F5">
      <w:pPr>
        <w:rPr>
          <w:rFonts w:ascii="Calibri" w:hAnsi="Calibri" w:cs="Calibri"/>
        </w:rPr>
      </w:pPr>
    </w:p>
    <w:sectPr w:rsidR="000E48F5" w:rsidRPr="00115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8F5"/>
    <w:rsid w:val="000E48F5"/>
    <w:rsid w:val="00115E40"/>
    <w:rsid w:val="0013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8259C-8223-4554-9B27-4CB910B1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8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8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8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8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8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8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8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8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8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8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8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Vast Enterprises</dc:creator>
  <cp:keywords/>
  <dc:description/>
  <cp:lastModifiedBy>Vast Enterprises</cp:lastModifiedBy>
  <cp:revision>2</cp:revision>
  <dcterms:created xsi:type="dcterms:W3CDTF">2026-05-03T20:44:00Z</dcterms:created>
  <dcterms:modified xsi:type="dcterms:W3CDTF">2026-05-03T20:45:00Z</dcterms:modified>
</cp:coreProperties>
</file>